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134" w:firstLine="1134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189230</wp:posOffset>
                </wp:positionV>
                <wp:extent cx="531622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MINISTÉRIO DA EDUCAÇÃO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UNIVERSIDADE FEDERAL DO RIO GRANDE DO NORTE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14.9pt;height:54pt;width:418.6pt;z-index:251658240;mso-width-relative:page;mso-height-relative:page;" filled="f" stroked="f" coordsize="21600,21600" o:gfxdata="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sge/9YAAAAKAQAADwAAAAAAAAABACAAAAAiAAAAZHJzL2Rvd25yZXYueG1sUEsBAhQAFAAA&#10;AAgAh07iQBP5P2PxAQAA1AMAAA4AAAAAAAAAAQAgAAAAJ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MINISTÉRIO DA EDUCAÇÃO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UNIVERSIDADE FEDERAL DO RIO GRANDE DO NORTE</w:t>
                      </w:r>
                    </w:p>
                    <w:p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textAlignment w:val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RESOLUÇÃO N</w:t>
      </w:r>
      <w:r>
        <w:rPr>
          <w:b/>
          <w:sz w:val="24"/>
          <w:szCs w:val="24"/>
          <w:vertAlign w:val="superscript"/>
        </w:rPr>
        <w:t>o</w:t>
      </w:r>
      <w:r>
        <w:rPr>
          <w:b/>
          <w:sz w:val="24"/>
          <w:szCs w:val="24"/>
        </w:rPr>
        <w:t xml:space="preserve"> 18</w:t>
      </w:r>
      <w:r>
        <w:rPr>
          <w:b/>
          <w:sz w:val="24"/>
          <w:szCs w:val="24"/>
          <w:lang w:val="pt-BR"/>
        </w:rPr>
        <w:t>1</w:t>
      </w:r>
      <w:r>
        <w:rPr>
          <w:b/>
          <w:sz w:val="24"/>
          <w:szCs w:val="24"/>
        </w:rPr>
        <w:t>/2017-CONSEPE, de 14 de novembro de 2017.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textAlignment w:val="auto"/>
        <w:outlineLvl w:val="9"/>
        <w:rPr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96" w:leftChars="1998" w:right="0" w:rightChars="0" w:firstLine="0" w:firstLineChars="0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Aprova a política de melhoria da qualidade dos cursos de Graduação e de Pós-Graduação</w:t>
      </w:r>
      <w:r>
        <w:rPr>
          <w:color w:val="44546A"/>
          <w:sz w:val="23"/>
          <w:szCs w:val="23"/>
        </w:rPr>
        <w:t xml:space="preserve"> </w:t>
      </w:r>
      <w:r>
        <w:rPr>
          <w:sz w:val="23"/>
          <w:szCs w:val="23"/>
        </w:rPr>
        <w:t>oferecidos pela UFRN.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textAlignment w:val="auto"/>
        <w:outlineLvl w:val="9"/>
        <w:rPr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A REITORA DA UNIVERSIDADE FEDERAL DO RIO GRANDE DO NORTE faz saber que o Conselho de Ensino, Pesquisa e Extensão - CONSEPE, usando da atribuição que lhe confere o artigo 17, Inciso XII do Estatuto da UFRN,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CONSIDERANDO o papel estratégico da educação pública de qualidade para o desenvolvimento econômico e social e para a construção de uma sociedade mais democrática e mais igualitária no Brasil;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CONSIDERANDO a importância da avaliação de cursos e das instituições para o fortalecimento da educação superior do país;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CONSIDERANDO a importância da melhoria constante dos indicadores de qualidade das instituições públicas de educação superior do país;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CONSIDERANDO a Lei</w:t>
      </w:r>
      <w:r>
        <w:rPr>
          <w:sz w:val="23"/>
          <w:szCs w:val="23"/>
          <w:lang w:val="pt-BR"/>
        </w:rPr>
        <w:t xml:space="preserve"> </w:t>
      </w:r>
      <w:r>
        <w:rPr>
          <w:sz w:val="23"/>
          <w:szCs w:val="23"/>
        </w:rPr>
        <w:t>n</w:t>
      </w:r>
      <w:r>
        <w:rPr>
          <w:sz w:val="23"/>
          <w:szCs w:val="23"/>
          <w:u w:val="single"/>
          <w:vertAlign w:val="superscript"/>
        </w:rPr>
        <w:t>o</w:t>
      </w:r>
      <w:r>
        <w:rPr>
          <w:sz w:val="23"/>
          <w:szCs w:val="23"/>
        </w:rPr>
        <w:t xml:space="preserve"> 10.861, de 14 de abril de 2004, que institui o Sistema Nacional de Avaliação da Educação Superior (SINAES), a Portaria n</w:t>
      </w:r>
      <w:r>
        <w:rPr>
          <w:sz w:val="23"/>
          <w:szCs w:val="23"/>
          <w:u w:val="single"/>
          <w:vertAlign w:val="superscript"/>
        </w:rPr>
        <w:t>o</w:t>
      </w:r>
      <w:r>
        <w:rPr>
          <w:sz w:val="23"/>
          <w:szCs w:val="23"/>
        </w:rPr>
        <w:t xml:space="preserve"> 40/2007, reeditada em 2010, que consolida disposições sobre indicadores de qualidade e a Portaria Normativa MEC n</w:t>
      </w:r>
      <w:r>
        <w:rPr>
          <w:sz w:val="23"/>
          <w:szCs w:val="23"/>
          <w:u w:val="single"/>
          <w:vertAlign w:val="superscript"/>
        </w:rPr>
        <w:t>o</w:t>
      </w:r>
      <w:r>
        <w:rPr>
          <w:sz w:val="23"/>
          <w:szCs w:val="23"/>
        </w:rPr>
        <w:t xml:space="preserve"> 4, de 5 de agosto de 2008, que  regulamenta a aplicação do Conceito Preliminar de Cursos (CPC);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CONSIDERANDO a Portaria MEC n</w:t>
      </w:r>
      <w:r>
        <w:rPr>
          <w:sz w:val="23"/>
          <w:szCs w:val="23"/>
          <w:u w:val="single"/>
          <w:vertAlign w:val="superscript"/>
        </w:rPr>
        <w:t>o</w:t>
      </w:r>
      <w:r>
        <w:rPr>
          <w:sz w:val="23"/>
          <w:szCs w:val="23"/>
        </w:rPr>
        <w:t xml:space="preserve"> 1.383, de 31 de outubro de 2017, que aprova, em extrato, os indicadores do Instrumento de Avaliação de Cursos de Graduação para os atos de autorização, reconhecimento e renovação de reconhecimento nas modalidades presencial e a distância do Sistema Nacional de Avaliação da Educação Superior – Sinaes;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CONSIDERANDO a Portaria MEC n</w:t>
      </w:r>
      <w:r>
        <w:rPr>
          <w:sz w:val="23"/>
          <w:szCs w:val="23"/>
          <w:u w:val="single"/>
          <w:vertAlign w:val="superscript"/>
        </w:rPr>
        <w:t>o</w:t>
      </w:r>
      <w:r>
        <w:rPr>
          <w:sz w:val="23"/>
          <w:szCs w:val="23"/>
        </w:rPr>
        <w:t xml:space="preserve"> 1.418, de 23 de dezembro de 1998, que dispõe sobre a classificação dos cursos de mestrado e doutorado, segundo o padrão de qualidade que possuem;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CONSIDERANDO a Portaria Normativa MEC n</w:t>
      </w:r>
      <w:r>
        <w:rPr>
          <w:sz w:val="23"/>
          <w:szCs w:val="23"/>
          <w:u w:val="single"/>
          <w:vertAlign w:val="superscript"/>
        </w:rPr>
        <w:t>o</w:t>
      </w:r>
      <w:r>
        <w:rPr>
          <w:sz w:val="23"/>
          <w:szCs w:val="23"/>
        </w:rPr>
        <w:t xml:space="preserve"> 12, de 05 de setembro de 2008, que cria o Índice Geral de Cursos da Instituição (IGC) como indicador de qualidade dos cursos oferecidos pelas IES;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CONSIDERANDO a Resolução</w:t>
      </w:r>
      <w:r>
        <w:rPr>
          <w:sz w:val="23"/>
          <w:szCs w:val="23"/>
          <w:lang w:val="pt-BR"/>
        </w:rPr>
        <w:t xml:space="preserve"> </w:t>
      </w:r>
      <w:r>
        <w:rPr>
          <w:sz w:val="23"/>
          <w:szCs w:val="23"/>
        </w:rPr>
        <w:t>n</w:t>
      </w:r>
      <w:r>
        <w:rPr>
          <w:sz w:val="23"/>
          <w:szCs w:val="23"/>
          <w:u w:val="single"/>
          <w:vertAlign w:val="superscript"/>
        </w:rPr>
        <w:t>o</w:t>
      </w:r>
      <w:r>
        <w:rPr>
          <w:sz w:val="23"/>
          <w:szCs w:val="23"/>
        </w:rPr>
        <w:t xml:space="preserve"> 015/2010 CONSUNI, que aprova o Plano de Desenvolvimento Institucional - PDI, período 2010/2019, da Universidade Federal do Rio Grande do Norte – UFRN e a Resolução</w:t>
      </w:r>
      <w:r>
        <w:rPr>
          <w:sz w:val="23"/>
          <w:szCs w:val="23"/>
          <w:lang w:val="pt-BR"/>
        </w:rPr>
        <w:t xml:space="preserve"> </w:t>
      </w:r>
      <w:r>
        <w:rPr>
          <w:sz w:val="23"/>
          <w:szCs w:val="23"/>
        </w:rPr>
        <w:t>n</w:t>
      </w:r>
      <w:r>
        <w:rPr>
          <w:sz w:val="23"/>
          <w:szCs w:val="23"/>
          <w:u w:val="single"/>
          <w:vertAlign w:val="superscript"/>
        </w:rPr>
        <w:t>o</w:t>
      </w:r>
      <w:bookmarkStart w:id="0" w:name="_GoBack"/>
      <w:bookmarkEnd w:id="0"/>
      <w:r>
        <w:rPr>
          <w:sz w:val="23"/>
          <w:szCs w:val="23"/>
        </w:rPr>
        <w:t xml:space="preserve"> 019/2015 CONSUNI que aprova atualização das metas do Plano de Desenvolvimento Institucional - PDI, período 2010/2019, da Universidade Federal do Rio Grande do Norte – UFRN;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CONSIDERANDO o que consta no processo n</w:t>
      </w:r>
      <w:r>
        <w:rPr>
          <w:sz w:val="23"/>
          <w:szCs w:val="23"/>
          <w:u w:val="single"/>
          <w:vertAlign w:val="superscript"/>
        </w:rPr>
        <w:t>o</w:t>
      </w:r>
      <w:r>
        <w:rPr>
          <w:sz w:val="23"/>
          <w:szCs w:val="23"/>
        </w:rPr>
        <w:t xml:space="preserve"> 230</w:t>
      </w:r>
      <w:r>
        <w:rPr>
          <w:b w:val="0"/>
          <w:bCs w:val="0"/>
          <w:sz w:val="23"/>
          <w:szCs w:val="23"/>
        </w:rPr>
        <w:t>77.</w:t>
      </w:r>
      <w:r>
        <w:rPr>
          <w:b w:val="0"/>
          <w:bCs w:val="0"/>
          <w:color w:val="000000"/>
          <w:sz w:val="23"/>
          <w:szCs w:val="23"/>
        </w:rPr>
        <w:t>071683/2017-48</w:t>
      </w:r>
      <w:r>
        <w:rPr>
          <w:sz w:val="23"/>
          <w:szCs w:val="23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textAlignment w:val="auto"/>
        <w:outlineLvl w:val="9"/>
        <w:rPr>
          <w:sz w:val="23"/>
          <w:szCs w:val="23"/>
          <w:highlight w:val="yello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textAlignment w:val="auto"/>
        <w:outlineLvl w:val="9"/>
        <w:rPr>
          <w:sz w:val="23"/>
          <w:szCs w:val="23"/>
          <w:highlight w:val="yello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98" w:firstLineChars="347"/>
        <w:textAlignment w:val="auto"/>
        <w:outlineLvl w:val="9"/>
        <w:rPr>
          <w:sz w:val="23"/>
          <w:szCs w:val="23"/>
        </w:rPr>
      </w:pPr>
      <w:r>
        <w:rPr>
          <w:b/>
          <w:sz w:val="23"/>
          <w:szCs w:val="23"/>
        </w:rPr>
        <w:t>RESOLVE:</w:t>
      </w:r>
      <w:r>
        <w:rPr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98" w:firstLineChars="347"/>
        <w:textAlignment w:val="auto"/>
        <w:outlineLvl w:val="9"/>
        <w:rPr>
          <w:sz w:val="23"/>
          <w:szCs w:val="23"/>
        </w:rPr>
      </w:pPr>
      <w:r>
        <w:rPr>
          <w:b/>
          <w:sz w:val="23"/>
          <w:szCs w:val="23"/>
        </w:rPr>
        <w:t>Art. 1</w:t>
      </w:r>
      <w:r>
        <w:rPr>
          <w:b/>
          <w:sz w:val="23"/>
          <w:szCs w:val="23"/>
          <w:u w:val="single"/>
          <w:vertAlign w:val="superscript"/>
        </w:rPr>
        <w:t>o</w:t>
      </w:r>
      <w:r>
        <w:rPr>
          <w:sz w:val="23"/>
          <w:szCs w:val="23"/>
        </w:rPr>
        <w:t xml:space="preserve"> Aprovar a política de melhoria da qualidade dos cursos de Graduação e de Pós-Graduação oferecidos pela UFRN.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98" w:firstLineChars="347"/>
        <w:textAlignment w:val="auto"/>
        <w:outlineLvl w:val="9"/>
        <w:rPr>
          <w:sz w:val="23"/>
          <w:szCs w:val="23"/>
        </w:rPr>
      </w:pPr>
      <w:r>
        <w:rPr>
          <w:b/>
          <w:sz w:val="23"/>
          <w:szCs w:val="23"/>
        </w:rPr>
        <w:t xml:space="preserve">Art. </w:t>
      </w:r>
      <w:r>
        <w:rPr>
          <w:b/>
          <w:sz w:val="23"/>
          <w:szCs w:val="23"/>
          <w:lang w:val="pt-BR"/>
        </w:rPr>
        <w:t>2</w:t>
      </w:r>
      <w:r>
        <w:rPr>
          <w:b/>
          <w:sz w:val="23"/>
          <w:szCs w:val="23"/>
          <w:u w:val="single"/>
          <w:vertAlign w:val="superscript"/>
        </w:rPr>
        <w:t>o</w:t>
      </w:r>
      <w:r>
        <w:rPr>
          <w:sz w:val="23"/>
          <w:szCs w:val="23"/>
        </w:rPr>
        <w:t xml:space="preserve"> As unidades institucionais têm até 31 de agosto de 2018 para providenciar a adaptação aos procedimentos previstos na presente Resolução.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20"/>
        <w:textAlignment w:val="auto"/>
        <w:outlineLvl w:val="9"/>
        <w:rPr>
          <w:sz w:val="23"/>
          <w:szCs w:val="23"/>
        </w:rPr>
      </w:pPr>
      <w:r>
        <w:rPr>
          <w:b/>
          <w:sz w:val="23"/>
          <w:szCs w:val="23"/>
        </w:rPr>
        <w:t xml:space="preserve">Art. </w:t>
      </w:r>
      <w:r>
        <w:rPr>
          <w:b/>
          <w:sz w:val="23"/>
          <w:szCs w:val="23"/>
          <w:lang w:val="pt-BR"/>
        </w:rPr>
        <w:t>3</w:t>
      </w:r>
      <w:r>
        <w:rPr>
          <w:b/>
          <w:sz w:val="23"/>
          <w:szCs w:val="23"/>
          <w:u w:val="single"/>
          <w:vertAlign w:val="superscript"/>
        </w:rPr>
        <w:t>o</w:t>
      </w:r>
      <w:r>
        <w:rPr>
          <w:sz w:val="23"/>
          <w:szCs w:val="23"/>
        </w:rPr>
        <w:t xml:space="preserve"> Esta Resolução entra em vigor a partir da data de sua publicação, revogadas as disposições em contrário</w:t>
      </w:r>
      <w:r>
        <w:rPr>
          <w:sz w:val="23"/>
          <w:szCs w:val="23"/>
          <w:lang w:val="pt-BR"/>
        </w:rPr>
        <w:t xml:space="preserve">, </w:t>
      </w:r>
      <w:r>
        <w:rPr>
          <w:sz w:val="23"/>
          <w:szCs w:val="23"/>
        </w:rPr>
        <w:t xml:space="preserve"> respeitado o disposto no artigo anterior.</w:t>
      </w:r>
    </w:p>
    <w:p>
      <w:pPr>
        <w:keepNext w:val="0"/>
        <w:keepLines w:val="0"/>
        <w:pageBreakBefore w:val="0"/>
        <w:widowControl/>
        <w:tabs>
          <w:tab w:val="left" w:pos="540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540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 xml:space="preserve">                Reitoria, em Natal, 14 de novembro de 2017.</w:t>
      </w:r>
    </w:p>
    <w:p>
      <w:pPr>
        <w:keepNext w:val="0"/>
        <w:keepLines w:val="0"/>
        <w:pageBreakBefore w:val="0"/>
        <w:widowControl/>
        <w:tabs>
          <w:tab w:val="left" w:pos="540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textAlignment w:val="auto"/>
        <w:outlineLvl w:val="9"/>
        <w:rPr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Ângela Maria Paiva Cruz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b/>
          <w:sz w:val="23"/>
          <w:szCs w:val="23"/>
        </w:rPr>
      </w:pPr>
      <w:r>
        <w:rPr>
          <w:b/>
          <w:sz w:val="23"/>
          <w:szCs w:val="23"/>
        </w:rPr>
        <w:t>REITORA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sz w:val="23"/>
          <w:szCs w:val="23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>Anexo da Resolução n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u w:val="single"/>
          <w:vertAlign w:val="superscript"/>
          <w:lang w:val="pt-BR"/>
        </w:rPr>
        <w:t>o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 xml:space="preserve"> 1</w:t>
      </w:r>
      <w:r>
        <w:rPr>
          <w:rFonts w:hint="default" w:cs="Times New Roman"/>
          <w:b/>
          <w:color w:val="auto"/>
          <w:sz w:val="22"/>
          <w:szCs w:val="22"/>
          <w:lang w:val="pt-BR"/>
        </w:rPr>
        <w:t>81</w:t>
      </w:r>
      <w:r>
        <w:rPr>
          <w:rFonts w:hint="default" w:ascii="Times New Roman" w:hAnsi="Times New Roman" w:cs="Times New Roman"/>
          <w:sz w:val="22"/>
          <w:szCs w:val="22"/>
        </w:rPr>
        <w:t>/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2017-CONSEPE, de 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1</w:t>
      </w:r>
      <w:r>
        <w:rPr>
          <w:rFonts w:hint="default" w:cs="Times New Roman"/>
          <w:b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de </w:t>
      </w:r>
      <w:r>
        <w:rPr>
          <w:rFonts w:hint="default" w:cs="Times New Roman"/>
          <w:b/>
          <w:sz w:val="22"/>
          <w:szCs w:val="22"/>
          <w:lang w:val="pt-BR"/>
        </w:rPr>
        <w:t>novem</w:t>
      </w:r>
      <w:r>
        <w:rPr>
          <w:rFonts w:hint="default" w:ascii="Times New Roman" w:hAnsi="Times New Roman" w:cs="Times New Roman"/>
          <w:b/>
          <w:sz w:val="22"/>
          <w:szCs w:val="22"/>
        </w:rPr>
        <w:t>bro de 2017.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sz w:val="23"/>
          <w:szCs w:val="23"/>
        </w:rPr>
      </w:pPr>
    </w:p>
    <w:p>
      <w:pPr>
        <w:pStyle w:val="8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/>
        <w:jc w:val="center"/>
        <w:textAlignment w:val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POLÍTICA DE MELHORIA DA QUALIDADE DOS CURSOS DE GRADUAÇÃO E DE PÓS-GRADUAÇÃO OFERECIDOS PELA UFRN</w:t>
      </w:r>
    </w:p>
    <w:p>
      <w:pPr>
        <w:pStyle w:val="8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/>
        <w:jc w:val="center"/>
        <w:textAlignment w:val="auto"/>
        <w:rPr>
          <w:rFonts w:ascii="Times New Roman" w:hAnsi="Times New Roman"/>
          <w:b/>
          <w:color w:val="auto"/>
          <w:sz w:val="24"/>
          <w:szCs w:val="24"/>
        </w:rPr>
      </w:pPr>
    </w:p>
    <w:p>
      <w:pPr>
        <w:pStyle w:val="8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/>
        <w:jc w:val="center"/>
        <w:textAlignment w:val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CAPÍTULO I</w:t>
      </w:r>
    </w:p>
    <w:p>
      <w:pPr>
        <w:pStyle w:val="8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/>
        <w:jc w:val="center"/>
        <w:textAlignment w:val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DAS DISPOSIÇÕES GERAIS</w:t>
      </w:r>
    </w:p>
    <w:p>
      <w:pPr>
        <w:pStyle w:val="8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/>
        <w:jc w:val="center"/>
        <w:textAlignment w:val="auto"/>
        <w:rPr>
          <w:rFonts w:ascii="Times New Roman" w:hAnsi="Times New Roman"/>
          <w:b/>
          <w:color w:val="auto"/>
          <w:sz w:val="24"/>
          <w:szCs w:val="24"/>
        </w:rPr>
      </w:pPr>
    </w:p>
    <w:p>
      <w:pPr>
        <w:pStyle w:val="8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Art. 1</w:t>
      </w:r>
      <w:r>
        <w:rPr>
          <w:b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rFonts w:ascii="Times New Roman" w:hAnsi="Times New Roman"/>
          <w:color w:val="auto"/>
          <w:sz w:val="24"/>
          <w:szCs w:val="24"/>
        </w:rPr>
        <w:t xml:space="preserve"> A política de melhoria da qualidade dos cursos de Graduação e de Pós-Graduação oferecidos pela UFRN constitui-se em importante instrumento de fortalecimento da missão institucional de educar, produzir e disseminar o saber universal, preservar e difundir as artes e a cultura, e contribuir para o desenvolvimento humano, comprometendo-se com a justiça social, a sustentabilidade socioambiental, a democracia e a cidadania.</w:t>
      </w:r>
    </w:p>
    <w:p>
      <w:pPr>
        <w:pStyle w:val="8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Parágrafo único. </w:t>
      </w:r>
      <w:r>
        <w:rPr>
          <w:rFonts w:ascii="Times New Roman" w:hAnsi="Times New Roman"/>
          <w:color w:val="auto"/>
          <w:sz w:val="24"/>
          <w:szCs w:val="24"/>
        </w:rPr>
        <w:t>Esta política será implementada por meio de programas específicos para a melhoria do ensino de Graduação e de Pós-Graduação.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</w:t>
      </w:r>
      <w:r>
        <w:rPr>
          <w:b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color w:val="auto"/>
          <w:sz w:val="24"/>
          <w:szCs w:val="24"/>
        </w:rPr>
        <w:t xml:space="preserve"> O desenvolvimento da política de melhoria da qualidade dos cursos de Graduação e de Pós-Graduação será acompanhado e avaliado pela Comissão Própria de Avaliação (CPA) da UFRN.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3</w:t>
      </w:r>
      <w:r>
        <w:rPr>
          <w:b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color w:val="auto"/>
          <w:sz w:val="24"/>
          <w:szCs w:val="24"/>
        </w:rPr>
        <w:t xml:space="preserve"> Para o desenvolvimento da política, a UFRN utilizará como referencial os seguintes indicadores do Instituto Nacional de Estudos e Pesquisas Educacionais Anísio Teixeira - INEP/MEC e da Coordenação de Aperfeiçoamento do Pessoal de Nível Superior - CAPES: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– </w:t>
      </w:r>
      <w:r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</w:rPr>
        <w:t xml:space="preserve"> Índice Geral de Cursos (IGC) como indicador da instituição;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– </w:t>
      </w:r>
      <w:r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</w:rPr>
        <w:t xml:space="preserve"> Conceito Preliminar de Curso (CPC) e o Conceito de Curso (CC) gerado pelas avaliações </w:t>
      </w:r>
      <w:r>
        <w:rPr>
          <w:i/>
          <w:color w:val="auto"/>
          <w:sz w:val="24"/>
          <w:szCs w:val="24"/>
        </w:rPr>
        <w:t>in loco</w:t>
      </w:r>
      <w:r>
        <w:rPr>
          <w:color w:val="auto"/>
          <w:sz w:val="24"/>
          <w:szCs w:val="24"/>
        </w:rPr>
        <w:t xml:space="preserve"> do MEC/INEP para os cursos de 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III – </w:t>
      </w:r>
      <w:r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</w:rPr>
        <w:t xml:space="preserve"> Conceito CAPES para os </w:t>
      </w:r>
      <w:r>
        <w:rPr>
          <w:color w:val="auto"/>
          <w:sz w:val="24"/>
          <w:szCs w:val="24"/>
          <w:lang w:val="pt-BR"/>
        </w:rPr>
        <w:t>p</w:t>
      </w:r>
      <w:r>
        <w:rPr>
          <w:color w:val="auto"/>
          <w:sz w:val="24"/>
          <w:szCs w:val="24"/>
        </w:rPr>
        <w:t xml:space="preserve">rogramas de </w:t>
      </w:r>
      <w:r>
        <w:rPr>
          <w:color w:val="auto"/>
          <w:sz w:val="24"/>
          <w:szCs w:val="24"/>
          <w:lang w:val="pt-BR"/>
        </w:rPr>
        <w:t>P</w:t>
      </w:r>
      <w:r>
        <w:rPr>
          <w:color w:val="auto"/>
          <w:sz w:val="24"/>
          <w:szCs w:val="24"/>
        </w:rPr>
        <w:t>ós-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Parágrafo único. </w:t>
      </w:r>
      <w:r>
        <w:rPr>
          <w:color w:val="auto"/>
          <w:sz w:val="24"/>
          <w:szCs w:val="24"/>
        </w:rPr>
        <w:t xml:space="preserve">O Índice Geral de Cursos (IGC) contempla a qualidade dos cursos de graduação e de pós-graduação, em níveis de </w:t>
      </w:r>
      <w:r>
        <w:rPr>
          <w:color w:val="auto"/>
          <w:sz w:val="24"/>
          <w:szCs w:val="24"/>
          <w:lang w:val="pt-BR"/>
        </w:rPr>
        <w:t>M</w:t>
      </w:r>
      <w:r>
        <w:rPr>
          <w:color w:val="auto"/>
          <w:sz w:val="24"/>
          <w:szCs w:val="24"/>
        </w:rPr>
        <w:t xml:space="preserve">estrado e </w:t>
      </w:r>
      <w:r>
        <w:rPr>
          <w:color w:val="auto"/>
          <w:sz w:val="24"/>
          <w:szCs w:val="24"/>
          <w:lang w:val="pt-BR"/>
        </w:rPr>
        <w:t>D</w:t>
      </w:r>
      <w:r>
        <w:rPr>
          <w:color w:val="auto"/>
          <w:sz w:val="24"/>
          <w:szCs w:val="24"/>
        </w:rPr>
        <w:t>outorado.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</w:p>
    <w:p>
      <w:pPr>
        <w:pStyle w:val="3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CAPÍTULO II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DOS PROGRAMAS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rPr>
          <w:b/>
          <w:bCs/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Seção I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Do Programa dos Cursos de Graduação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4</w:t>
      </w:r>
      <w:r>
        <w:rPr>
          <w:b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color w:val="auto"/>
          <w:sz w:val="24"/>
          <w:szCs w:val="24"/>
        </w:rPr>
        <w:t xml:space="preserve"> O programa de melhoria dos indicadores dos cursos de 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 será coordenado pela Pró-Reitoria de Graduação (PROGRAD), com base nos indicadores CPC e CC, de acordo com sua disponibilidade.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b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§1</w:t>
      </w:r>
      <w:r>
        <w:rPr>
          <w:b w:val="0"/>
          <w:bCs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b w:val="0"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Deverão ser considerados os indicadores obtidos nos três últimos anos.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§2</w:t>
      </w:r>
      <w:r>
        <w:rPr>
          <w:b w:val="0"/>
          <w:bCs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b w:val="0"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Nos casos da inexistência dos indicadores mencionados no </w:t>
      </w:r>
      <w:r>
        <w:rPr>
          <w:i/>
          <w:iCs/>
          <w:color w:val="auto"/>
          <w:sz w:val="24"/>
          <w:szCs w:val="24"/>
        </w:rPr>
        <w:t xml:space="preserve">caput </w:t>
      </w:r>
      <w:r>
        <w:rPr>
          <w:color w:val="auto"/>
          <w:sz w:val="24"/>
          <w:szCs w:val="24"/>
        </w:rPr>
        <w:t>deste artigo, os cursos deverão fazer autoavaliação para o desenvolvimento do programa, sob coordenação da CPA.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5</w:t>
      </w:r>
      <w:r>
        <w:rPr>
          <w:b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color w:val="auto"/>
          <w:sz w:val="24"/>
          <w:szCs w:val="24"/>
        </w:rPr>
        <w:t xml:space="preserve"> Todos os cursos de 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 da UFRN deverão ter um Plano de Ação Trienal do Curso de Graduação (PATCG), propondo estratégias para enfrentamento das fragilidades e encaminhamentos de melhorias dos indicadores.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6</w:t>
      </w:r>
      <w:r>
        <w:rPr>
          <w:b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color w:val="auto"/>
          <w:sz w:val="24"/>
          <w:szCs w:val="24"/>
        </w:rPr>
        <w:t xml:space="preserve"> Fica criada a Comissão de Graduação com o objetivo de avaliar e acompanhar os PATCG na UFRN.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7</w:t>
      </w:r>
      <w:r>
        <w:rPr>
          <w:b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color w:val="auto"/>
          <w:sz w:val="24"/>
          <w:szCs w:val="24"/>
        </w:rPr>
        <w:t xml:space="preserve"> A Comissão de Graduação tem a seguinte composição: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 – o Pró-Reitor de Graduação, seu presidente;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 – um representante da CPA;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 – o Procurador Educacional Institucional (PI);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IV – um representante da Coordenadoria de Acompanhamento, Planejamento e Avaliação Acadêmica (COPAV), indicado pelo Pró-Reitor de Graduação;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 – os Assessores Acadêmicos dos Centros Acadêmicos e Unidades Acadêmicas Especializadas.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Parágrafo único.</w:t>
      </w:r>
      <w:r>
        <w:rPr>
          <w:color w:val="auto"/>
          <w:sz w:val="24"/>
          <w:szCs w:val="24"/>
        </w:rPr>
        <w:t xml:space="preserve">  Os Centros Acadêmicos ou Unidades Acadêmicas Especializadas que não tiverem Assessores Acadêmicos nomeados indicarão um representante docente para compor a Comissão de Graduação.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8</w:t>
      </w:r>
      <w:r>
        <w:rPr>
          <w:b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color w:val="auto"/>
          <w:sz w:val="24"/>
          <w:szCs w:val="24"/>
        </w:rPr>
        <w:t xml:space="preserve"> O programa para melhoria dos indicadores dos cursos de 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 contempla as seguintes dimensões: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– </w:t>
      </w:r>
      <w:r>
        <w:rPr>
          <w:color w:val="auto"/>
          <w:sz w:val="24"/>
          <w:szCs w:val="24"/>
          <w:lang w:val="pt-BR"/>
        </w:rPr>
        <w:t>d</w:t>
      </w:r>
      <w:r>
        <w:rPr>
          <w:color w:val="auto"/>
          <w:sz w:val="24"/>
          <w:szCs w:val="24"/>
        </w:rPr>
        <w:t>esempenho dos estudantes no Exame Nacional de Desempenho de Estudantes (ENADE);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– </w:t>
      </w:r>
      <w:r>
        <w:rPr>
          <w:color w:val="auto"/>
          <w:sz w:val="24"/>
          <w:szCs w:val="24"/>
          <w:lang w:val="pt-BR"/>
        </w:rPr>
        <w:t>p</w:t>
      </w:r>
      <w:r>
        <w:rPr>
          <w:color w:val="auto"/>
          <w:sz w:val="24"/>
          <w:szCs w:val="24"/>
        </w:rPr>
        <w:t>ercepção discente sobre as condições do processo formativo no ENADE;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III – </w:t>
      </w:r>
      <w:r>
        <w:rPr>
          <w:color w:val="auto"/>
          <w:sz w:val="24"/>
          <w:szCs w:val="24"/>
          <w:lang w:val="pt-BR"/>
        </w:rPr>
        <w:t>c</w:t>
      </w:r>
      <w:r>
        <w:rPr>
          <w:color w:val="auto"/>
          <w:sz w:val="24"/>
          <w:szCs w:val="24"/>
        </w:rPr>
        <w:t>orpo docente;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IV – </w:t>
      </w:r>
      <w:r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</w:rPr>
        <w:t>rganização Didático-Pedagógica;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 – </w:t>
      </w:r>
      <w:r>
        <w:rPr>
          <w:color w:val="auto"/>
          <w:sz w:val="24"/>
          <w:szCs w:val="24"/>
          <w:lang w:val="pt-BR"/>
        </w:rPr>
        <w:t>i</w:t>
      </w:r>
      <w:r>
        <w:rPr>
          <w:color w:val="auto"/>
          <w:sz w:val="24"/>
          <w:szCs w:val="24"/>
        </w:rPr>
        <w:t>nfraestrutura.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§1</w:t>
      </w:r>
      <w:r>
        <w:rPr>
          <w:b w:val="0"/>
          <w:bCs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color w:val="auto"/>
          <w:sz w:val="24"/>
          <w:szCs w:val="24"/>
        </w:rPr>
        <w:t xml:space="preserve"> Para os cursos com CPC, aplicam-se as dimensões I, II e III.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§2</w:t>
      </w:r>
      <w:r>
        <w:rPr>
          <w:b w:val="0"/>
          <w:bCs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b w:val="0"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Para os cursos com CC ou autoavaliados, aplicam-se as dimensões III, IV e V.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9</w:t>
      </w:r>
      <w:r>
        <w:rPr>
          <w:b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color w:val="auto"/>
          <w:sz w:val="24"/>
          <w:szCs w:val="24"/>
        </w:rPr>
        <w:t xml:space="preserve"> Fica institucionalizada a Semana de Avaliação e Planejamento definida no Calendário Universitário da UFRN, sob a responsabilidade dos Departamentos ou Centros e Unidades Acadêmicas Especializadas.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§1</w:t>
      </w:r>
      <w:r>
        <w:rPr>
          <w:b w:val="0"/>
          <w:bCs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b w:val="0"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 Semana de Avaliação e Planejamento deverá incluir análise e discussão do PATCG dos cursos para os quais a unidade oferece componentes curriculares e estratégias para enfrentamento das fragilidades no que for de sua competência, conforme diretrizes estabelecidas pela PROGRAD e CPA.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§2</w:t>
      </w:r>
      <w:r>
        <w:rPr>
          <w:b w:val="0"/>
          <w:bCs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b w:val="0"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 participação dos docentes na Semana de Avaliação e Planejamento é obrigatória, aplicando-se a ela a mesma exigência estabelecida no Regimento Geral para reuniões dos colegiados deliberativos.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10</w:t>
      </w:r>
      <w:r>
        <w:rPr>
          <w:color w:val="auto"/>
          <w:sz w:val="24"/>
          <w:szCs w:val="24"/>
        </w:rPr>
        <w:t xml:space="preserve"> Os PATCG deverão ser formalizados em processos pelas Coordenações de Curso contendo, no mínimo, os seguintes tópicos: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– 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>nálise situacional;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- </w:t>
      </w:r>
      <w:r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</w:rPr>
        <w:t>bjetivos;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III - 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>nálise do(s) relatório(s), considerando as dimensões citadas no art. 8º, onde couber;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IV - </w:t>
      </w:r>
      <w:r>
        <w:rPr>
          <w:color w:val="auto"/>
          <w:sz w:val="24"/>
          <w:szCs w:val="24"/>
          <w:lang w:val="pt-BR"/>
        </w:rPr>
        <w:t>e</w:t>
      </w:r>
      <w:r>
        <w:rPr>
          <w:color w:val="auto"/>
          <w:sz w:val="24"/>
          <w:szCs w:val="24"/>
        </w:rPr>
        <w:t>stratégias para melhoria da qualidade do curso;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 - </w:t>
      </w:r>
      <w:r>
        <w:rPr>
          <w:color w:val="auto"/>
          <w:sz w:val="24"/>
          <w:szCs w:val="24"/>
          <w:lang w:val="pt-BR"/>
        </w:rPr>
        <w:t>c</w:t>
      </w:r>
      <w:r>
        <w:rPr>
          <w:color w:val="auto"/>
          <w:sz w:val="24"/>
          <w:szCs w:val="24"/>
        </w:rPr>
        <w:t>ronograma das ações e definição dos responsáveis;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 - </w:t>
      </w:r>
      <w:r>
        <w:rPr>
          <w:color w:val="auto"/>
          <w:sz w:val="24"/>
          <w:szCs w:val="24"/>
          <w:lang w:val="pt-BR"/>
        </w:rPr>
        <w:t>r</w:t>
      </w:r>
      <w:r>
        <w:rPr>
          <w:color w:val="auto"/>
          <w:sz w:val="24"/>
          <w:szCs w:val="24"/>
        </w:rPr>
        <w:t>esultados esperados para cada dimensão.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Art. 11 </w:t>
      </w:r>
      <w:r>
        <w:rPr>
          <w:color w:val="auto"/>
          <w:sz w:val="24"/>
          <w:szCs w:val="24"/>
        </w:rPr>
        <w:t>No que se refere ao PATCG, compete: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- </w:t>
      </w:r>
      <w:r>
        <w:rPr>
          <w:color w:val="auto"/>
          <w:sz w:val="24"/>
          <w:szCs w:val="24"/>
          <w:lang w:val="pt-BR"/>
        </w:rPr>
        <w:t xml:space="preserve">à </w:t>
      </w:r>
      <w:r>
        <w:rPr>
          <w:color w:val="auto"/>
          <w:sz w:val="24"/>
          <w:szCs w:val="24"/>
        </w:rPr>
        <w:t>PROGRAD: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a) </w:t>
      </w:r>
      <w:r>
        <w:rPr>
          <w:color w:val="auto"/>
          <w:sz w:val="24"/>
          <w:szCs w:val="24"/>
          <w:lang w:val="pt-BR"/>
        </w:rPr>
        <w:t>d</w:t>
      </w:r>
      <w:r>
        <w:rPr>
          <w:color w:val="auto"/>
          <w:sz w:val="24"/>
          <w:szCs w:val="24"/>
        </w:rPr>
        <w:t>efinir o calendário para o desenvolvimento das etapas de oficinas e encaminhamentos relativos ao PATCG;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</w:rPr>
        <w:t>rientar a elaboração do PATCG pelas coordenações dos cursos e membros do Núcleo Docente Estruturante (NDE).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-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Coordenação de Curso: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a) </w:t>
      </w:r>
      <w:r>
        <w:rPr>
          <w:color w:val="auto"/>
          <w:sz w:val="24"/>
          <w:szCs w:val="24"/>
          <w:lang w:val="pt-BR"/>
        </w:rPr>
        <w:t>e</w:t>
      </w:r>
      <w:r>
        <w:rPr>
          <w:color w:val="auto"/>
          <w:sz w:val="24"/>
          <w:szCs w:val="24"/>
        </w:rPr>
        <w:t>laborar o PATCG juntamente com o NDE, devendo contemplar a análise dos relatórios das avaliações do curso (ENADE, avaliações externas do MEC ou autoavaliação), além dos aspectos relevantes para a qualidade da formação dos alunos;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color w:val="auto"/>
          <w:sz w:val="24"/>
          <w:szCs w:val="24"/>
          <w:lang w:val="pt-BR"/>
        </w:rPr>
        <w:t>s</w:t>
      </w:r>
      <w:r>
        <w:rPr>
          <w:color w:val="auto"/>
          <w:sz w:val="24"/>
          <w:szCs w:val="24"/>
        </w:rPr>
        <w:t>ubmeter, após parecer técnico da Comissão de Graduação, o PATCG à aprovação do Colegiado do Curso e do Conselho do Centro (CONSEC) ou da Unidade Acadêmica Especializada;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c) </w:t>
      </w:r>
      <w:r>
        <w:rPr>
          <w:color w:val="auto"/>
          <w:sz w:val="24"/>
          <w:szCs w:val="24"/>
          <w:lang w:val="pt-BR"/>
        </w:rPr>
        <w:t>e</w:t>
      </w:r>
      <w:r>
        <w:rPr>
          <w:color w:val="auto"/>
          <w:sz w:val="24"/>
          <w:szCs w:val="24"/>
        </w:rPr>
        <w:t>ncaminhar o PATCG à Comissão de Graduação, após aprovação do Conselho do Centro ou da Unidade Acadêmica Especializada, para fins de registro e acompanhamento;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d) </w:t>
      </w:r>
      <w:r>
        <w:rPr>
          <w:color w:val="auto"/>
          <w:sz w:val="24"/>
          <w:szCs w:val="24"/>
          <w:lang w:val="pt-BR"/>
        </w:rPr>
        <w:t>e</w:t>
      </w:r>
      <w:r>
        <w:rPr>
          <w:color w:val="auto"/>
          <w:sz w:val="24"/>
          <w:szCs w:val="24"/>
        </w:rPr>
        <w:t>ncaminhar relatório anual à Comissão de Graduação, após aprovação pelo Colegiado do Curso conforme calendário estabelecido pela PROGRAD, nos termos do inciso I deste artigo;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</w:rPr>
        <w:t xml:space="preserve">III -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Assessoria Acadêmica dos Centros ou das Unidades Acadêmicas Especializadas, acompanhar a execução e atualização do PATCG, juntamente com a Comissão de Graduação, por meio de relatórios anuais enviados pelas coordenações de curso</w:t>
      </w:r>
      <w:r>
        <w:rPr>
          <w:color w:val="auto"/>
          <w:sz w:val="24"/>
          <w:szCs w:val="24"/>
          <w:lang w:val="pt-BR"/>
        </w:rPr>
        <w:t>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  <w:lang w:val="pt-BR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  <w:lang w:val="pt-BR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IV -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Comissão de Graduação: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a) </w:t>
      </w:r>
      <w:r>
        <w:rPr>
          <w:color w:val="auto"/>
          <w:sz w:val="24"/>
          <w:szCs w:val="24"/>
          <w:lang w:val="pt-BR"/>
        </w:rPr>
        <w:t>e</w:t>
      </w:r>
      <w:r>
        <w:rPr>
          <w:color w:val="auto"/>
          <w:sz w:val="24"/>
          <w:szCs w:val="24"/>
        </w:rPr>
        <w:t>mitir parecer técnico sobre os PATCG;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>companhar a execução do PATCG, juntamente com a Assessoria Acadêmica dos Centros e das Unidades Acadêmicas Especializadas.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12</w:t>
      </w:r>
      <w:r>
        <w:rPr>
          <w:color w:val="auto"/>
          <w:sz w:val="24"/>
          <w:szCs w:val="24"/>
        </w:rPr>
        <w:t xml:space="preserve"> No que se refere à dimensão desempenho dos estudantes no ENADE, compete: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-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PROGRAD: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a) R</w:t>
      </w:r>
      <w:r>
        <w:rPr>
          <w:color w:val="auto"/>
          <w:sz w:val="24"/>
          <w:szCs w:val="24"/>
          <w:lang w:val="pt-BR"/>
        </w:rPr>
        <w:t>r</w:t>
      </w:r>
      <w:r>
        <w:rPr>
          <w:color w:val="auto"/>
          <w:sz w:val="24"/>
          <w:szCs w:val="24"/>
        </w:rPr>
        <w:t>ealizar oficinas com os coordenadores de cursos e membros do NDE para orientação e análise dos relatórios do ENADE, observando os ciclos avaliativos do INEP;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color w:val="auto"/>
          <w:sz w:val="24"/>
          <w:szCs w:val="24"/>
          <w:lang w:val="pt-BR"/>
        </w:rPr>
        <w:t>r</w:t>
      </w:r>
      <w:r>
        <w:rPr>
          <w:color w:val="auto"/>
          <w:sz w:val="24"/>
          <w:szCs w:val="24"/>
        </w:rPr>
        <w:t>ealizar o Seminário ENADE na UFRN</w:t>
      </w:r>
      <w:r>
        <w:rPr>
          <w:color w:val="auto"/>
          <w:sz w:val="24"/>
          <w:szCs w:val="24"/>
          <w:lang w:val="pt-BR"/>
        </w:rPr>
        <w:t>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-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Coordenação de Curso: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a) 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>valiar e identificar o perfil dos ingressantes do respectivo curso, juntamente com NDE, a partir do questionário do Exame Nacional do Ensino Médio (ENEM);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color w:val="auto"/>
          <w:sz w:val="24"/>
          <w:szCs w:val="24"/>
          <w:lang w:val="pt-BR"/>
        </w:rPr>
        <w:t>i</w:t>
      </w:r>
      <w:r>
        <w:rPr>
          <w:color w:val="auto"/>
          <w:sz w:val="24"/>
          <w:szCs w:val="24"/>
        </w:rPr>
        <w:t>dentificar o perfil dos concluintes do respectivo curso para inscrição no ENADE;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c) </w:t>
      </w:r>
      <w:r>
        <w:rPr>
          <w:color w:val="auto"/>
          <w:sz w:val="24"/>
          <w:szCs w:val="24"/>
          <w:lang w:val="pt-BR"/>
        </w:rPr>
        <w:t>s</w:t>
      </w:r>
      <w:r>
        <w:rPr>
          <w:color w:val="auto"/>
          <w:sz w:val="24"/>
          <w:szCs w:val="24"/>
        </w:rPr>
        <w:t>ensibilizar e orientar os estudantes sobre o ENADE;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d) </w:t>
      </w:r>
      <w:r>
        <w:rPr>
          <w:color w:val="auto"/>
          <w:sz w:val="24"/>
          <w:szCs w:val="24"/>
          <w:lang w:val="pt-BR"/>
        </w:rPr>
        <w:t>p</w:t>
      </w:r>
      <w:r>
        <w:rPr>
          <w:color w:val="auto"/>
          <w:sz w:val="24"/>
          <w:szCs w:val="24"/>
        </w:rPr>
        <w:t>articipar do Seminário ENADE na UFRN.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13</w:t>
      </w:r>
      <w:r>
        <w:rPr>
          <w:color w:val="auto"/>
          <w:sz w:val="24"/>
          <w:szCs w:val="24"/>
        </w:rPr>
        <w:t xml:space="preserve"> No que se refere à dimensão percepção discente sobre as condições do processo formativo no ENADE, compete: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-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Coordenação de Curso: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a) </w:t>
      </w:r>
      <w:r>
        <w:rPr>
          <w:color w:val="auto"/>
          <w:sz w:val="24"/>
          <w:szCs w:val="24"/>
          <w:lang w:val="pt-BR"/>
        </w:rPr>
        <w:t>d</w:t>
      </w:r>
      <w:r>
        <w:rPr>
          <w:color w:val="auto"/>
          <w:sz w:val="24"/>
          <w:szCs w:val="24"/>
        </w:rPr>
        <w:t>iscutir, juntamente com o NDE, as questões relativas ao Questionário Obrigatório do Estudante, integrante do ENADE, para fins de elaboração, execução e acompanhamento do PATCG;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b) S</w:t>
      </w:r>
      <w:r>
        <w:rPr>
          <w:color w:val="auto"/>
          <w:sz w:val="24"/>
          <w:szCs w:val="24"/>
          <w:lang w:val="pt-BR"/>
        </w:rPr>
        <w:t>s</w:t>
      </w:r>
      <w:r>
        <w:rPr>
          <w:color w:val="auto"/>
          <w:sz w:val="24"/>
          <w:szCs w:val="24"/>
        </w:rPr>
        <w:t>ensibilizar os alunos para a importância da avaliação da docência;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c) </w:t>
      </w:r>
      <w:r>
        <w:rPr>
          <w:color w:val="auto"/>
          <w:sz w:val="24"/>
          <w:szCs w:val="24"/>
          <w:lang w:val="pt-BR"/>
        </w:rPr>
        <w:t>d</w:t>
      </w:r>
      <w:r>
        <w:rPr>
          <w:color w:val="auto"/>
          <w:sz w:val="24"/>
          <w:szCs w:val="24"/>
        </w:rPr>
        <w:t>ivulgar junto aos alunos as condições do processo formativo na Instituição;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d) </w:t>
      </w:r>
      <w:r>
        <w:rPr>
          <w:color w:val="auto"/>
          <w:sz w:val="24"/>
          <w:szCs w:val="24"/>
          <w:lang w:val="pt-BR"/>
        </w:rPr>
        <w:t>d</w:t>
      </w:r>
      <w:r>
        <w:rPr>
          <w:color w:val="auto"/>
          <w:sz w:val="24"/>
          <w:szCs w:val="24"/>
        </w:rPr>
        <w:t>ivulgar junto aos alunos as ações da Comissão Permanente de Apoio a Estudantes com Necessidades Educacionais Especiais (CAENE), da orientação acadêmica e dos programas institucionais de apoio, como monitoria, tutoria e hábitos de estudos;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e) </w:t>
      </w:r>
      <w:r>
        <w:rPr>
          <w:color w:val="auto"/>
          <w:sz w:val="24"/>
          <w:szCs w:val="24"/>
          <w:lang w:val="pt-BR"/>
        </w:rPr>
        <w:t>d</w:t>
      </w:r>
      <w:r>
        <w:rPr>
          <w:color w:val="auto"/>
          <w:sz w:val="24"/>
          <w:szCs w:val="24"/>
        </w:rPr>
        <w:t>ivulgar junto aos alunos as composições dos órgãos colegiados, as atividades de cultura, de lazer e de interação social, promovidas pela instituição;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- 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>os Departamentos, Centros e Unidades Acadêmicas Especializadas, discutir os resultados da Avaliação da Docência na Semana de Avaliação e Planejamento e adotar os encaminhamentos necessários.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14</w:t>
      </w:r>
      <w:r>
        <w:rPr>
          <w:color w:val="auto"/>
          <w:sz w:val="24"/>
          <w:szCs w:val="24"/>
        </w:rPr>
        <w:t xml:space="preserve"> No que se refere à dimensão corpo docente, compete: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– 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>os Docentes: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a) </w:t>
      </w:r>
      <w:r>
        <w:rPr>
          <w:color w:val="auto"/>
          <w:sz w:val="24"/>
          <w:szCs w:val="24"/>
          <w:lang w:val="pt-BR"/>
        </w:rPr>
        <w:t>d</w:t>
      </w:r>
      <w:r>
        <w:rPr>
          <w:color w:val="auto"/>
          <w:sz w:val="24"/>
          <w:szCs w:val="24"/>
        </w:rPr>
        <w:t>isponibilizar, no prazo estabelecido pela coordenação, as informações e respectivas comprovações solicitadas pela Coordenação do Curso para subsidiar o processo de avaliação;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color w:val="auto"/>
          <w:sz w:val="24"/>
          <w:szCs w:val="24"/>
          <w:lang w:val="pt-BR"/>
        </w:rPr>
        <w:t>p</w:t>
      </w:r>
      <w:r>
        <w:rPr>
          <w:color w:val="auto"/>
          <w:sz w:val="24"/>
          <w:szCs w:val="24"/>
        </w:rPr>
        <w:t xml:space="preserve">articipar das reuniões agendadas de avaliações </w:t>
      </w:r>
      <w:r>
        <w:rPr>
          <w:i/>
          <w:color w:val="auto"/>
          <w:sz w:val="24"/>
          <w:szCs w:val="24"/>
        </w:rPr>
        <w:t>in loco</w:t>
      </w:r>
      <w:r>
        <w:rPr>
          <w:i/>
          <w:color w:val="auto"/>
          <w:sz w:val="24"/>
          <w:szCs w:val="24"/>
          <w:lang w:val="pt-BR"/>
        </w:rPr>
        <w:t>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-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Coordenação de Curso, fortalecer a Orientação Acadêmica como atividade sistêmica e continuada, conforme Regulamento dos Cursos de Graduação da UFRN;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III - 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 xml:space="preserve">o Departamento Acadêmico, exigir </w:t>
      </w:r>
      <w:r>
        <w:rPr>
          <w:color w:val="auto"/>
          <w:sz w:val="24"/>
          <w:szCs w:val="24"/>
          <w:lang w:val="pt-BR"/>
        </w:rPr>
        <w:t>que o c</w:t>
      </w:r>
      <w:r>
        <w:rPr>
          <w:color w:val="auto"/>
          <w:sz w:val="24"/>
          <w:szCs w:val="24"/>
        </w:rPr>
        <w:t xml:space="preserve">orpo </w:t>
      </w:r>
      <w:r>
        <w:rPr>
          <w:color w:val="auto"/>
          <w:sz w:val="24"/>
          <w:szCs w:val="24"/>
          <w:lang w:val="pt-BR"/>
        </w:rPr>
        <w:t>d</w:t>
      </w:r>
      <w:r>
        <w:rPr>
          <w:color w:val="auto"/>
          <w:sz w:val="24"/>
          <w:szCs w:val="24"/>
        </w:rPr>
        <w:t>ocente, mante</w:t>
      </w:r>
      <w:r>
        <w:rPr>
          <w:color w:val="auto"/>
          <w:sz w:val="24"/>
          <w:szCs w:val="24"/>
          <w:lang w:val="pt-BR"/>
        </w:rPr>
        <w:t>nha</w:t>
      </w:r>
      <w:r>
        <w:rPr>
          <w:color w:val="auto"/>
          <w:sz w:val="24"/>
          <w:szCs w:val="24"/>
        </w:rPr>
        <w:t xml:space="preserve"> atualizad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 xml:space="preserve"> a apresentação e utilização dos Planos de Curso na condução do processo de ensino aprendizagem, conforme Regulamento dos Cursos de Graduação da UFRN.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15.</w:t>
      </w:r>
      <w:r>
        <w:rPr>
          <w:color w:val="auto"/>
          <w:sz w:val="24"/>
          <w:szCs w:val="24"/>
        </w:rPr>
        <w:t xml:space="preserve"> No que se refere à dimensão organização didático-pedagógica, compete: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–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PROGRAD: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a) </w:t>
      </w:r>
      <w:r>
        <w:rPr>
          <w:color w:val="auto"/>
          <w:sz w:val="24"/>
          <w:szCs w:val="24"/>
          <w:lang w:val="pt-BR"/>
        </w:rPr>
        <w:t>p</w:t>
      </w:r>
      <w:r>
        <w:rPr>
          <w:color w:val="auto"/>
          <w:sz w:val="24"/>
          <w:szCs w:val="24"/>
        </w:rPr>
        <w:t>romover oficinas, por meio do Programa de Atualização Pedagógica (PAP), para os membros do NDE e demais interessados visando à atualização dos PPC;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color w:val="auto"/>
          <w:sz w:val="24"/>
          <w:szCs w:val="24"/>
          <w:lang w:val="pt-BR"/>
        </w:rPr>
        <w:t>r</w:t>
      </w:r>
      <w:r>
        <w:rPr>
          <w:color w:val="auto"/>
          <w:sz w:val="24"/>
          <w:szCs w:val="24"/>
        </w:rPr>
        <w:t>ealizar oficinas, por meio do PAP, para docentes objetivando o aperfeiçoamento e atualização de metodologias de aprendizagem e uso das novas Tecnologias da Informação;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c) </w:t>
      </w:r>
      <w:r>
        <w:rPr>
          <w:color w:val="auto"/>
          <w:sz w:val="24"/>
          <w:szCs w:val="24"/>
          <w:lang w:val="pt-BR"/>
        </w:rPr>
        <w:t>r</w:t>
      </w:r>
      <w:r>
        <w:rPr>
          <w:color w:val="auto"/>
          <w:sz w:val="24"/>
          <w:szCs w:val="24"/>
        </w:rPr>
        <w:t>ealizar oficinas para os coordenadores de cursos e demais interessados, para esclarecimentos sobre os procedimentos acadêmicos, de gestão e pedagógicos relativos ao funcionamento dos cursos de graduação;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d) </w:t>
      </w:r>
      <w:r>
        <w:rPr>
          <w:color w:val="auto"/>
          <w:sz w:val="24"/>
          <w:szCs w:val="24"/>
          <w:lang w:val="pt-BR"/>
        </w:rPr>
        <w:t>r</w:t>
      </w:r>
      <w:r>
        <w:rPr>
          <w:color w:val="auto"/>
          <w:sz w:val="24"/>
          <w:szCs w:val="24"/>
        </w:rPr>
        <w:t xml:space="preserve">ealizar, juntamente com a CPA, oficinas para os coordenadores de cursos e demais interessados sobre os procedimentos da avaliação </w:t>
      </w:r>
      <w:r>
        <w:rPr>
          <w:i/>
          <w:color w:val="auto"/>
          <w:sz w:val="24"/>
          <w:szCs w:val="24"/>
        </w:rPr>
        <w:t>in loco</w:t>
      </w:r>
      <w:r>
        <w:rPr>
          <w:i/>
          <w:color w:val="auto"/>
          <w:sz w:val="24"/>
          <w:szCs w:val="24"/>
          <w:lang w:val="pt-BR"/>
        </w:rPr>
        <w:t>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-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Coordenação de Curso, submeter os Projetos Pedagógicos dos Cursos (PPC) para atualização permanente.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16.</w:t>
      </w:r>
      <w:r>
        <w:rPr>
          <w:color w:val="auto"/>
          <w:sz w:val="24"/>
          <w:szCs w:val="24"/>
        </w:rPr>
        <w:t xml:space="preserve"> No que se refere à dimensão infraestrutura, compete: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– 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 xml:space="preserve">o Procurador Educacional Institucional (PI), acompanhar as demandas decorrentes do processo de avaliação </w:t>
      </w:r>
      <w:r>
        <w:rPr>
          <w:i/>
          <w:color w:val="auto"/>
          <w:sz w:val="24"/>
          <w:szCs w:val="24"/>
        </w:rPr>
        <w:t>in loco</w:t>
      </w:r>
      <w:r>
        <w:rPr>
          <w:color w:val="auto"/>
          <w:sz w:val="24"/>
          <w:szCs w:val="24"/>
        </w:rPr>
        <w:t xml:space="preserve"> referentes a infraestrutura e encaminhá-las às Direções de Centros e de Unidades Acadêmicas Especializadas e demais setores competentes na instituição;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 – às Direções de Centros e de Unidades Acadêmicas Especializadas, encaminhar e acompanhar a implantação das medidas visando a melhoria das condições de acessibilidade, rede, acervo bibliográfico, laboratórios e outras necessidades estruturais que impactam na construção dos indicadores.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Seção II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rPr>
          <w:b/>
          <w:i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Do Programa </w:t>
      </w:r>
      <w:r>
        <w:rPr>
          <w:b/>
          <w:color w:val="auto"/>
          <w:sz w:val="24"/>
          <w:szCs w:val="24"/>
        </w:rPr>
        <w:t xml:space="preserve">dos </w:t>
      </w:r>
      <w:r>
        <w:rPr>
          <w:b/>
          <w:bCs/>
          <w:color w:val="auto"/>
          <w:sz w:val="24"/>
          <w:szCs w:val="24"/>
        </w:rPr>
        <w:t xml:space="preserve">Cursos de Pós-Graduação </w:t>
      </w:r>
      <w:r>
        <w:rPr>
          <w:b/>
          <w:bCs/>
          <w:i/>
          <w:color w:val="auto"/>
          <w:sz w:val="24"/>
          <w:szCs w:val="24"/>
        </w:rPr>
        <w:t>Stricto sensu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rPr>
          <w:b/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Art. 17. </w:t>
      </w:r>
      <w:r>
        <w:rPr>
          <w:color w:val="auto"/>
          <w:sz w:val="24"/>
          <w:szCs w:val="24"/>
        </w:rPr>
        <w:t>O Programa de melhoria dos indicadores dos cursos de Pós-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 será coordenado pela Pró-Reitoria de Pós-Graduação (PPG) e acompanhado pela Comissão de Pós-Graduação, de acordo com os Conceitos CAPES dos programas.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>
        <w:rPr>
          <w:b/>
          <w:color w:val="auto"/>
          <w:sz w:val="24"/>
          <w:szCs w:val="24"/>
        </w:rPr>
        <w:t>Parágrafo único</w:t>
      </w:r>
      <w:r>
        <w:rPr>
          <w:color w:val="auto"/>
          <w:sz w:val="24"/>
          <w:szCs w:val="24"/>
        </w:rPr>
        <w:t xml:space="preserve">. As estratégias para melhoria dos indicadores de qualidade dos cursos de </w:t>
      </w:r>
      <w:r>
        <w:rPr>
          <w:color w:val="auto"/>
          <w:sz w:val="24"/>
          <w:szCs w:val="24"/>
          <w:lang w:val="pt-BR"/>
        </w:rPr>
        <w:t>P</w:t>
      </w:r>
      <w:r>
        <w:rPr>
          <w:color w:val="auto"/>
          <w:sz w:val="24"/>
          <w:szCs w:val="24"/>
        </w:rPr>
        <w:t>ós-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 xml:space="preserve">raduação são objeto de programas específicos, desenvolvidos pela PPG.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18.</w:t>
      </w:r>
      <w:r>
        <w:rPr>
          <w:color w:val="auto"/>
          <w:sz w:val="24"/>
          <w:szCs w:val="24"/>
        </w:rPr>
        <w:t xml:space="preserve"> Todos os programas de Pós-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 da UFRN deverão ter um Plano de Ação Quadrienal (PAQPG), propondo estratégias para enfrentamento das fragilidades e encaminhamentos de melhorias dos indicadores contemplando dois períodos de avaliação.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§1</w:t>
      </w:r>
      <w:r>
        <w:rPr>
          <w:b w:val="0"/>
          <w:bCs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Os Programas que não tiverem PAQPG aprovados não terão avaliadas as demandas de vagas estratégicas do Banco de Equivalentes da UFRN e não poderão participar nos editais institucionais de apoio.</w:t>
      </w:r>
    </w:p>
    <w:p>
      <w:pPr>
        <w:pStyle w:val="5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textAlignment w:val="auto"/>
        <w:rPr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§2</w:t>
      </w:r>
      <w:r>
        <w:rPr>
          <w:b w:val="0"/>
          <w:bCs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Caberá à Comissão de Pós-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 avaliar e acompanhar os PAQPG, em conjunto com a CPA.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19.</w:t>
      </w:r>
      <w:r>
        <w:rPr>
          <w:color w:val="auto"/>
          <w:sz w:val="24"/>
          <w:szCs w:val="24"/>
        </w:rPr>
        <w:t xml:space="preserve"> Os PAQPG deverão ser formalizados em processos pelas Coordenações de Programas de Pós-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 contendo, no mínimo, os seguintes tópicos: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– 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>nálise situacional;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– </w:t>
      </w:r>
      <w:r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</w:rPr>
        <w:t>bjetivos;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III – 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>nálise da ficha de avaliação e outros documentos disponíveis;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IV – </w:t>
      </w:r>
      <w:r>
        <w:rPr>
          <w:color w:val="auto"/>
          <w:sz w:val="24"/>
          <w:szCs w:val="24"/>
          <w:lang w:val="pt-BR"/>
        </w:rPr>
        <w:t>e</w:t>
      </w:r>
      <w:r>
        <w:rPr>
          <w:color w:val="auto"/>
          <w:sz w:val="24"/>
          <w:szCs w:val="24"/>
        </w:rPr>
        <w:t>stratégias para melhoria dos indicadores, incluindo necessariamente: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>a) me</w:t>
      </w:r>
      <w:r>
        <w:rPr>
          <w:color w:val="auto"/>
          <w:sz w:val="24"/>
          <w:szCs w:val="24"/>
        </w:rPr>
        <w:t>lhoria do impacto da produção intelectual;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>b) q</w:t>
      </w:r>
      <w:r>
        <w:rPr>
          <w:color w:val="auto"/>
          <w:sz w:val="24"/>
          <w:szCs w:val="24"/>
        </w:rPr>
        <w:t>ualificação e ampliação da produção com os discentes;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>c) i</w:t>
      </w:r>
      <w:r>
        <w:rPr>
          <w:color w:val="auto"/>
          <w:sz w:val="24"/>
          <w:szCs w:val="24"/>
        </w:rPr>
        <w:t>nserção social;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>d) i</w:t>
      </w:r>
      <w:r>
        <w:rPr>
          <w:color w:val="auto"/>
          <w:sz w:val="24"/>
          <w:szCs w:val="24"/>
        </w:rPr>
        <w:t>nserção internacional;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>e) a</w:t>
      </w:r>
      <w:r>
        <w:rPr>
          <w:color w:val="auto"/>
          <w:sz w:val="24"/>
          <w:szCs w:val="24"/>
        </w:rPr>
        <w:t>rticulação com a Graduação;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>f) v</w:t>
      </w:r>
      <w:r>
        <w:rPr>
          <w:color w:val="auto"/>
          <w:sz w:val="24"/>
          <w:szCs w:val="24"/>
        </w:rPr>
        <w:t>isibilidade</w:t>
      </w:r>
      <w:r>
        <w:rPr>
          <w:color w:val="auto"/>
          <w:sz w:val="24"/>
          <w:szCs w:val="24"/>
          <w:lang w:val="pt-BR"/>
        </w:rPr>
        <w:t>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 – </w:t>
      </w:r>
      <w:r>
        <w:rPr>
          <w:color w:val="auto"/>
          <w:sz w:val="24"/>
          <w:szCs w:val="24"/>
          <w:lang w:val="pt-BR"/>
        </w:rPr>
        <w:t>c</w:t>
      </w:r>
      <w:r>
        <w:rPr>
          <w:color w:val="auto"/>
          <w:sz w:val="24"/>
          <w:szCs w:val="24"/>
        </w:rPr>
        <w:t>ronograma das ações e definição dos responsáveis;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 – </w:t>
      </w:r>
      <w:r>
        <w:rPr>
          <w:color w:val="auto"/>
          <w:sz w:val="24"/>
          <w:szCs w:val="24"/>
          <w:lang w:val="pt-BR"/>
        </w:rPr>
        <w:t>r</w:t>
      </w:r>
      <w:r>
        <w:rPr>
          <w:color w:val="auto"/>
          <w:sz w:val="24"/>
          <w:szCs w:val="24"/>
        </w:rPr>
        <w:t>esultados esperados para cada dimensão.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20.</w:t>
      </w:r>
      <w:r>
        <w:rPr>
          <w:color w:val="auto"/>
          <w:sz w:val="24"/>
          <w:szCs w:val="24"/>
        </w:rPr>
        <w:t xml:space="preserve"> Além do PAQPG, o</w:t>
      </w:r>
      <w:r>
        <w:rPr>
          <w:color w:val="auto"/>
          <w:sz w:val="24"/>
          <w:szCs w:val="24"/>
          <w:lang w:val="pt-BR"/>
        </w:rPr>
        <w:t>s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pt-BR"/>
        </w:rPr>
        <w:t>C</w:t>
      </w:r>
      <w:r>
        <w:rPr>
          <w:color w:val="auto"/>
          <w:sz w:val="24"/>
          <w:szCs w:val="24"/>
        </w:rPr>
        <w:t>olegiado</w:t>
      </w:r>
      <w:r>
        <w:rPr>
          <w:color w:val="auto"/>
          <w:sz w:val="24"/>
          <w:szCs w:val="24"/>
          <w:lang w:val="pt-BR"/>
        </w:rPr>
        <w:t>s</w:t>
      </w:r>
      <w:r>
        <w:rPr>
          <w:color w:val="auto"/>
          <w:sz w:val="24"/>
          <w:szCs w:val="24"/>
        </w:rPr>
        <w:t xml:space="preserve"> dos programas de Pós-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 deve</w:t>
      </w:r>
      <w:r>
        <w:rPr>
          <w:color w:val="auto"/>
          <w:sz w:val="24"/>
          <w:szCs w:val="24"/>
          <w:lang w:val="pt-BR"/>
        </w:rPr>
        <w:t>ão</w:t>
      </w:r>
      <w:r>
        <w:rPr>
          <w:color w:val="auto"/>
          <w:sz w:val="24"/>
          <w:szCs w:val="24"/>
        </w:rPr>
        <w:t xml:space="preserve"> realizar a cada início de período de avaliação o recredenciamento de docentes, a partir de normas estabelecidas com base no documento de área da Capes.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§1</w:t>
      </w:r>
      <w:r>
        <w:rPr>
          <w:b w:val="0"/>
          <w:bCs w:val="0"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As normas e o resultado final deverão ser homologados pela Comissão de Pós-graduação da PPG/UFRN.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§2</w:t>
      </w:r>
      <w:r>
        <w:rPr>
          <w:b w:val="0"/>
          <w:bCs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 não realização do recredenciamento do corpo docente implicará na desconsideração das demandas de vagas estratégicas do Banco de Equivalentes e impedimento da participação nos editais institucionais de apoio.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20"/>
        <w:jc w:val="both"/>
        <w:textAlignment w:val="auto"/>
        <w:rPr>
          <w:b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§3</w:t>
      </w:r>
      <w:r>
        <w:rPr>
          <w:b w:val="0"/>
          <w:bCs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pt-BR"/>
        </w:rPr>
        <w:t xml:space="preserve">O </w:t>
      </w:r>
      <w:r>
        <w:rPr>
          <w:color w:val="auto"/>
          <w:sz w:val="24"/>
          <w:szCs w:val="24"/>
        </w:rPr>
        <w:t>credenciamento de novos docentes poderá ocorrer ao longo do período quadrienal com critérios de credenciamento estabelecidos pelo colegiado do programa e homologados pela PPG/UFRN.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Art. 21. </w:t>
      </w:r>
      <w:r>
        <w:rPr>
          <w:color w:val="auto"/>
          <w:sz w:val="24"/>
          <w:szCs w:val="24"/>
        </w:rPr>
        <w:t>No que se refere ao PAQPG, compete: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-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PPG: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a) O</w:t>
      </w:r>
      <w:r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</w:rPr>
        <w:t>rientar a elaboração do PAQPG pelos programas de Pós-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</w:t>
      </w:r>
      <w:r>
        <w:rPr>
          <w:color w:val="auto"/>
          <w:sz w:val="24"/>
          <w:szCs w:val="24"/>
          <w:lang w:val="pt-BR"/>
        </w:rPr>
        <w:t>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color w:val="auto"/>
          <w:sz w:val="24"/>
          <w:szCs w:val="24"/>
          <w:lang w:val="pt-BR"/>
        </w:rPr>
        <w:t>r</w:t>
      </w:r>
      <w:r>
        <w:rPr>
          <w:color w:val="auto"/>
          <w:sz w:val="24"/>
          <w:szCs w:val="24"/>
        </w:rPr>
        <w:t>ealizar anualmente o Seminário Sucupira para acompanhamento das metas do PAQPG</w:t>
      </w:r>
      <w:r>
        <w:rPr>
          <w:color w:val="auto"/>
          <w:sz w:val="24"/>
          <w:szCs w:val="24"/>
          <w:lang w:val="pt-BR"/>
        </w:rPr>
        <w:t>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-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Coordenação de Programa de Pós-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a) E</w:t>
      </w:r>
      <w:r>
        <w:rPr>
          <w:color w:val="auto"/>
          <w:sz w:val="24"/>
          <w:szCs w:val="24"/>
          <w:lang w:val="pt-BR"/>
        </w:rPr>
        <w:t>e</w:t>
      </w:r>
      <w:r>
        <w:rPr>
          <w:color w:val="auto"/>
          <w:sz w:val="24"/>
          <w:szCs w:val="24"/>
        </w:rPr>
        <w:t xml:space="preserve">laborar o PAQPG juntamente com o </w:t>
      </w:r>
      <w:r>
        <w:rPr>
          <w:color w:val="auto"/>
          <w:sz w:val="24"/>
          <w:szCs w:val="24"/>
          <w:lang w:val="pt-BR"/>
        </w:rPr>
        <w:t>C</w:t>
      </w:r>
      <w:r>
        <w:rPr>
          <w:color w:val="auto"/>
          <w:sz w:val="24"/>
          <w:szCs w:val="24"/>
        </w:rPr>
        <w:t>olegiado, a partir da análise da ficha de avaliação (Capes), autoavaliação e documento de área da CAPES, entre outros;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color w:val="auto"/>
          <w:sz w:val="24"/>
          <w:szCs w:val="24"/>
          <w:lang w:val="pt-BR"/>
        </w:rPr>
        <w:t>s</w:t>
      </w:r>
      <w:r>
        <w:rPr>
          <w:color w:val="auto"/>
          <w:sz w:val="24"/>
          <w:szCs w:val="24"/>
        </w:rPr>
        <w:t>ubmeter o PAQPG à aprovação da Comissão de Pós-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c) </w:t>
      </w:r>
      <w:r>
        <w:rPr>
          <w:color w:val="auto"/>
          <w:sz w:val="24"/>
          <w:szCs w:val="24"/>
          <w:lang w:val="pt-BR"/>
        </w:rPr>
        <w:t>c</w:t>
      </w:r>
      <w:r>
        <w:rPr>
          <w:color w:val="auto"/>
          <w:sz w:val="24"/>
          <w:szCs w:val="24"/>
        </w:rPr>
        <w:t>oordenar junto ao Programa a execução das ações previstas no PAQPG;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d) </w:t>
      </w:r>
      <w:r>
        <w:rPr>
          <w:color w:val="auto"/>
          <w:sz w:val="24"/>
          <w:szCs w:val="24"/>
          <w:lang w:val="pt-BR"/>
        </w:rPr>
        <w:t>m</w:t>
      </w:r>
      <w:r>
        <w:rPr>
          <w:color w:val="auto"/>
          <w:sz w:val="24"/>
          <w:szCs w:val="24"/>
        </w:rPr>
        <w:t>anter as informações do Programa atualizadas na Plataforma Sucupira de maneira a refletir as estratégias delineadas no seu PAQPG;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e) </w:t>
      </w:r>
      <w:r>
        <w:rPr>
          <w:color w:val="auto"/>
          <w:sz w:val="24"/>
          <w:szCs w:val="24"/>
          <w:lang w:val="pt-BR"/>
        </w:rPr>
        <w:t>e</w:t>
      </w:r>
      <w:r>
        <w:rPr>
          <w:color w:val="auto"/>
          <w:sz w:val="24"/>
          <w:szCs w:val="24"/>
        </w:rPr>
        <w:t>ncaminhar relatório anual à PPG, após aprovação pelo Colegiado do Curso</w:t>
      </w:r>
      <w:r>
        <w:rPr>
          <w:color w:val="auto"/>
          <w:sz w:val="24"/>
          <w:szCs w:val="24"/>
          <w:lang w:val="pt-BR"/>
        </w:rPr>
        <w:t>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III - </w:t>
      </w:r>
      <w:r>
        <w:rPr>
          <w:color w:val="auto"/>
          <w:sz w:val="24"/>
          <w:szCs w:val="24"/>
          <w:lang w:val="pt-BR"/>
        </w:rPr>
        <w:t>à</w:t>
      </w:r>
      <w:r>
        <w:rPr>
          <w:color w:val="auto"/>
          <w:sz w:val="24"/>
          <w:szCs w:val="24"/>
        </w:rPr>
        <w:t xml:space="preserve"> Comissão de Pós-</w:t>
      </w:r>
      <w:r>
        <w:rPr>
          <w:color w:val="auto"/>
          <w:sz w:val="24"/>
          <w:szCs w:val="24"/>
          <w:lang w:val="pt-BR"/>
        </w:rPr>
        <w:t>G</w:t>
      </w:r>
      <w:r>
        <w:rPr>
          <w:color w:val="auto"/>
          <w:sz w:val="24"/>
          <w:szCs w:val="24"/>
        </w:rPr>
        <w:t>raduação: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a) </w:t>
      </w:r>
      <w:r>
        <w:rPr>
          <w:color w:val="auto"/>
          <w:sz w:val="24"/>
          <w:szCs w:val="24"/>
          <w:lang w:val="pt-BR"/>
        </w:rPr>
        <w:t>e</w:t>
      </w:r>
      <w:r>
        <w:rPr>
          <w:color w:val="auto"/>
          <w:sz w:val="24"/>
          <w:szCs w:val="24"/>
        </w:rPr>
        <w:t>mitir parecer técnico sobre os PAQPG;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8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color w:val="auto"/>
          <w:sz w:val="24"/>
          <w:szCs w:val="24"/>
          <w:lang w:val="pt-BR"/>
        </w:rPr>
        <w:t>a</w:t>
      </w:r>
      <w:r>
        <w:rPr>
          <w:color w:val="auto"/>
          <w:sz w:val="24"/>
          <w:szCs w:val="24"/>
        </w:rPr>
        <w:t>companhar a execução dos PAQPG.</w:t>
      </w:r>
    </w:p>
    <w:p>
      <w:pPr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textAlignment w:val="auto"/>
        <w:rPr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color w:val="auto"/>
          <w:sz w:val="24"/>
          <w:szCs w:val="24"/>
        </w:rPr>
      </w:pPr>
    </w:p>
    <w:sectPr>
      <w:pgSz w:w="11907" w:h="16840"/>
      <w:pgMar w:top="425" w:right="1134" w:bottom="215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adea">
    <w:panose1 w:val="02000506000000020000"/>
    <w:charset w:val="00"/>
    <w:family w:val="auto"/>
    <w:pitch w:val="default"/>
    <w:sig w:usb0="00000007" w:usb1="00000000" w:usb2="00000000" w:usb3="00000000" w:csb0="20000093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4"/>
    <w:rsid w:val="0000451C"/>
    <w:rsid w:val="00013F29"/>
    <w:rsid w:val="000153ED"/>
    <w:rsid w:val="00016DC3"/>
    <w:rsid w:val="00017A53"/>
    <w:rsid w:val="000233D5"/>
    <w:rsid w:val="0002764E"/>
    <w:rsid w:val="00030BA5"/>
    <w:rsid w:val="00054B14"/>
    <w:rsid w:val="00061EBB"/>
    <w:rsid w:val="0006397A"/>
    <w:rsid w:val="0006635A"/>
    <w:rsid w:val="00075331"/>
    <w:rsid w:val="00082BB1"/>
    <w:rsid w:val="00092AF2"/>
    <w:rsid w:val="0009786A"/>
    <w:rsid w:val="000B4462"/>
    <w:rsid w:val="000B6DEE"/>
    <w:rsid w:val="000B71D4"/>
    <w:rsid w:val="000D0588"/>
    <w:rsid w:val="000E22C0"/>
    <w:rsid w:val="0012696A"/>
    <w:rsid w:val="00127F8D"/>
    <w:rsid w:val="00150EE4"/>
    <w:rsid w:val="00167D38"/>
    <w:rsid w:val="00170E27"/>
    <w:rsid w:val="00193ECD"/>
    <w:rsid w:val="001C11C0"/>
    <w:rsid w:val="001D6C35"/>
    <w:rsid w:val="001E341B"/>
    <w:rsid w:val="001F205E"/>
    <w:rsid w:val="002134E8"/>
    <w:rsid w:val="00213E36"/>
    <w:rsid w:val="00214EEE"/>
    <w:rsid w:val="00222B9A"/>
    <w:rsid w:val="00223F96"/>
    <w:rsid w:val="00236303"/>
    <w:rsid w:val="00236508"/>
    <w:rsid w:val="00270F6D"/>
    <w:rsid w:val="00272D15"/>
    <w:rsid w:val="00290967"/>
    <w:rsid w:val="0029184F"/>
    <w:rsid w:val="00296793"/>
    <w:rsid w:val="002A2732"/>
    <w:rsid w:val="002D444F"/>
    <w:rsid w:val="002F5293"/>
    <w:rsid w:val="00310647"/>
    <w:rsid w:val="00315E10"/>
    <w:rsid w:val="00324EF8"/>
    <w:rsid w:val="00346B4D"/>
    <w:rsid w:val="00346DAA"/>
    <w:rsid w:val="00354AE0"/>
    <w:rsid w:val="00391F16"/>
    <w:rsid w:val="003A1A6C"/>
    <w:rsid w:val="003C13E8"/>
    <w:rsid w:val="00407CA3"/>
    <w:rsid w:val="00423CFF"/>
    <w:rsid w:val="00433C99"/>
    <w:rsid w:val="00445F3C"/>
    <w:rsid w:val="004634E2"/>
    <w:rsid w:val="0047356E"/>
    <w:rsid w:val="00481F7B"/>
    <w:rsid w:val="004875D5"/>
    <w:rsid w:val="004921D7"/>
    <w:rsid w:val="00492337"/>
    <w:rsid w:val="004A513E"/>
    <w:rsid w:val="004B63CC"/>
    <w:rsid w:val="004C5F96"/>
    <w:rsid w:val="004C7207"/>
    <w:rsid w:val="004D4204"/>
    <w:rsid w:val="004D441B"/>
    <w:rsid w:val="004E6203"/>
    <w:rsid w:val="00507223"/>
    <w:rsid w:val="00512B67"/>
    <w:rsid w:val="00530ACB"/>
    <w:rsid w:val="005526D2"/>
    <w:rsid w:val="00564334"/>
    <w:rsid w:val="00583B57"/>
    <w:rsid w:val="0058466F"/>
    <w:rsid w:val="005969D5"/>
    <w:rsid w:val="00596BC2"/>
    <w:rsid w:val="005B3EC7"/>
    <w:rsid w:val="005F3DF0"/>
    <w:rsid w:val="0060313A"/>
    <w:rsid w:val="00606885"/>
    <w:rsid w:val="0060790E"/>
    <w:rsid w:val="006236BB"/>
    <w:rsid w:val="0062453E"/>
    <w:rsid w:val="0062748D"/>
    <w:rsid w:val="00633E43"/>
    <w:rsid w:val="0065160F"/>
    <w:rsid w:val="00652A7C"/>
    <w:rsid w:val="00665518"/>
    <w:rsid w:val="00672EF4"/>
    <w:rsid w:val="00673637"/>
    <w:rsid w:val="006A5D44"/>
    <w:rsid w:val="006B03E9"/>
    <w:rsid w:val="006D2845"/>
    <w:rsid w:val="006E7F51"/>
    <w:rsid w:val="007006EB"/>
    <w:rsid w:val="00704225"/>
    <w:rsid w:val="00705C6B"/>
    <w:rsid w:val="00712476"/>
    <w:rsid w:val="00737D01"/>
    <w:rsid w:val="0074468C"/>
    <w:rsid w:val="0074663E"/>
    <w:rsid w:val="00756094"/>
    <w:rsid w:val="00761031"/>
    <w:rsid w:val="0077517C"/>
    <w:rsid w:val="00776FF2"/>
    <w:rsid w:val="007870F9"/>
    <w:rsid w:val="00790024"/>
    <w:rsid w:val="007A201E"/>
    <w:rsid w:val="007A78D2"/>
    <w:rsid w:val="007C261A"/>
    <w:rsid w:val="007D30FA"/>
    <w:rsid w:val="007E3261"/>
    <w:rsid w:val="008044C8"/>
    <w:rsid w:val="008124DA"/>
    <w:rsid w:val="00813E22"/>
    <w:rsid w:val="00816B2C"/>
    <w:rsid w:val="008362A3"/>
    <w:rsid w:val="0085033C"/>
    <w:rsid w:val="008521EC"/>
    <w:rsid w:val="00855AAC"/>
    <w:rsid w:val="00866C3A"/>
    <w:rsid w:val="00870C10"/>
    <w:rsid w:val="00897615"/>
    <w:rsid w:val="00897B0D"/>
    <w:rsid w:val="008B4827"/>
    <w:rsid w:val="008C51D3"/>
    <w:rsid w:val="008E4041"/>
    <w:rsid w:val="008F69C4"/>
    <w:rsid w:val="00903902"/>
    <w:rsid w:val="009111A7"/>
    <w:rsid w:val="00911E15"/>
    <w:rsid w:val="0093736D"/>
    <w:rsid w:val="00950B47"/>
    <w:rsid w:val="0097301F"/>
    <w:rsid w:val="00995079"/>
    <w:rsid w:val="00997FBC"/>
    <w:rsid w:val="009B0370"/>
    <w:rsid w:val="009B4FA5"/>
    <w:rsid w:val="009B5696"/>
    <w:rsid w:val="009C051E"/>
    <w:rsid w:val="009C5AC6"/>
    <w:rsid w:val="009D70F3"/>
    <w:rsid w:val="009E2121"/>
    <w:rsid w:val="00A03F47"/>
    <w:rsid w:val="00A12BAB"/>
    <w:rsid w:val="00A22AEA"/>
    <w:rsid w:val="00A3734A"/>
    <w:rsid w:val="00A43A66"/>
    <w:rsid w:val="00A46F71"/>
    <w:rsid w:val="00A65C41"/>
    <w:rsid w:val="00A6669F"/>
    <w:rsid w:val="00A710B7"/>
    <w:rsid w:val="00A9462A"/>
    <w:rsid w:val="00AA2CEB"/>
    <w:rsid w:val="00AB45E8"/>
    <w:rsid w:val="00AC0DC3"/>
    <w:rsid w:val="00AC4845"/>
    <w:rsid w:val="00AE21B3"/>
    <w:rsid w:val="00AF3AE0"/>
    <w:rsid w:val="00AF546A"/>
    <w:rsid w:val="00AF6974"/>
    <w:rsid w:val="00AF781D"/>
    <w:rsid w:val="00B13051"/>
    <w:rsid w:val="00B14604"/>
    <w:rsid w:val="00B22791"/>
    <w:rsid w:val="00B257CF"/>
    <w:rsid w:val="00B414E2"/>
    <w:rsid w:val="00B543E6"/>
    <w:rsid w:val="00B574AD"/>
    <w:rsid w:val="00B64218"/>
    <w:rsid w:val="00B71F59"/>
    <w:rsid w:val="00B779A7"/>
    <w:rsid w:val="00B8266B"/>
    <w:rsid w:val="00B8492B"/>
    <w:rsid w:val="00B976BE"/>
    <w:rsid w:val="00BD30C5"/>
    <w:rsid w:val="00BE23AC"/>
    <w:rsid w:val="00BF283F"/>
    <w:rsid w:val="00C108BF"/>
    <w:rsid w:val="00C1660A"/>
    <w:rsid w:val="00C16C02"/>
    <w:rsid w:val="00C204C0"/>
    <w:rsid w:val="00C21F99"/>
    <w:rsid w:val="00C30874"/>
    <w:rsid w:val="00C42188"/>
    <w:rsid w:val="00C52A9F"/>
    <w:rsid w:val="00C5354F"/>
    <w:rsid w:val="00C71331"/>
    <w:rsid w:val="00C74EF7"/>
    <w:rsid w:val="00C87DD6"/>
    <w:rsid w:val="00CC4A5A"/>
    <w:rsid w:val="00CC7FCE"/>
    <w:rsid w:val="00CD3A4E"/>
    <w:rsid w:val="00CD637F"/>
    <w:rsid w:val="00CE7DC8"/>
    <w:rsid w:val="00CF2034"/>
    <w:rsid w:val="00D00332"/>
    <w:rsid w:val="00D200A0"/>
    <w:rsid w:val="00D27983"/>
    <w:rsid w:val="00D344B4"/>
    <w:rsid w:val="00D535FC"/>
    <w:rsid w:val="00D64C6D"/>
    <w:rsid w:val="00D6774E"/>
    <w:rsid w:val="00D77E45"/>
    <w:rsid w:val="00D92659"/>
    <w:rsid w:val="00DA3ED2"/>
    <w:rsid w:val="00DA5434"/>
    <w:rsid w:val="00DB1BF6"/>
    <w:rsid w:val="00DD2410"/>
    <w:rsid w:val="00E13BDC"/>
    <w:rsid w:val="00E46BCB"/>
    <w:rsid w:val="00E75704"/>
    <w:rsid w:val="00E75B11"/>
    <w:rsid w:val="00E86162"/>
    <w:rsid w:val="00E86A97"/>
    <w:rsid w:val="00EA08A2"/>
    <w:rsid w:val="00EB381D"/>
    <w:rsid w:val="00F03AEA"/>
    <w:rsid w:val="00F066A1"/>
    <w:rsid w:val="00F30039"/>
    <w:rsid w:val="00F359E2"/>
    <w:rsid w:val="00F56E65"/>
    <w:rsid w:val="00F6601D"/>
    <w:rsid w:val="00F717DF"/>
    <w:rsid w:val="00F81D14"/>
    <w:rsid w:val="00FA0AF6"/>
    <w:rsid w:val="00FA378B"/>
    <w:rsid w:val="00FB29A7"/>
    <w:rsid w:val="00FB5106"/>
    <w:rsid w:val="00FB567C"/>
    <w:rsid w:val="00FC459E"/>
    <w:rsid w:val="00FD105F"/>
    <w:rsid w:val="00FE3352"/>
    <w:rsid w:val="00FE4333"/>
    <w:rsid w:val="00FE5566"/>
    <w:rsid w:val="00FE6142"/>
    <w:rsid w:val="1DC5690B"/>
    <w:rsid w:val="2992606D"/>
    <w:rsid w:val="403C35B2"/>
    <w:rsid w:val="63810921"/>
    <w:rsid w:val="74F86C05"/>
    <w:rsid w:val="759017D5"/>
    <w:rsid w:val="7C68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right"/>
      <w:outlineLvl w:val="0"/>
    </w:pPr>
    <w:rPr>
      <w:sz w:val="28"/>
      <w:u w:val="single"/>
    </w:rPr>
  </w:style>
  <w:style w:type="paragraph" w:styleId="3">
    <w:name w:val="heading 3"/>
    <w:basedOn w:val="1"/>
    <w:next w:val="1"/>
    <w:unhideWhenUsed/>
    <w:qFormat/>
    <w:uiPriority w:val="0"/>
    <w:pPr>
      <w:keepNext/>
      <w:jc w:val="center"/>
      <w:outlineLvl w:val="2"/>
    </w:pPr>
    <w:rPr>
      <w:b/>
      <w:sz w:val="22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jc w:val="both"/>
    </w:pPr>
  </w:style>
  <w:style w:type="paragraph" w:styleId="6">
    <w:name w:val="Body Text Indent"/>
    <w:basedOn w:val="1"/>
    <w:uiPriority w:val="0"/>
    <w:pPr>
      <w:spacing w:before="40" w:after="40" w:line="240" w:lineRule="exact"/>
      <w:ind w:firstLine="708"/>
    </w:pPr>
    <w:rPr>
      <w:sz w:val="24"/>
      <w:szCs w:val="24"/>
    </w:rPr>
  </w:style>
  <w:style w:type="paragraph" w:styleId="7">
    <w:name w:val="Body Text Indent 2"/>
    <w:basedOn w:val="1"/>
    <w:uiPriority w:val="0"/>
    <w:pPr>
      <w:ind w:left="3544"/>
    </w:pPr>
    <w:rPr>
      <w:sz w:val="24"/>
    </w:rPr>
  </w:style>
  <w:style w:type="paragraph" w:styleId="8">
    <w:name w:val="Body Text Indent 3"/>
    <w:basedOn w:val="1"/>
    <w:uiPriority w:val="0"/>
    <w:pPr>
      <w:spacing w:after="120"/>
      <w:ind w:left="283"/>
    </w:pPr>
    <w:rPr>
      <w:sz w:val="16"/>
      <w:szCs w:val="16"/>
    </w:rPr>
  </w:style>
  <w:style w:type="character" w:customStyle="1" w:styleId="11">
    <w:name w:val="Texto de balão Char"/>
    <w:basedOn w:val="9"/>
    <w:link w:val="4"/>
    <w:qFormat/>
    <w:uiPriority w:val="0"/>
    <w:rPr>
      <w:rFonts w:ascii="Tahoma" w:hAnsi="Tahoma" w:cs="Tahoma"/>
      <w:sz w:val="16"/>
      <w:szCs w:val="16"/>
    </w:rPr>
  </w:style>
  <w:style w:type="paragraph" w:customStyle="1" w:styleId="12">
    <w:name w:val="Parágrafo da Lista1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79822-D062-45C6-9DA4-7645A263B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UFRN</Company>
  <Pages>1</Pages>
  <Words>256</Words>
  <Characters>1479</Characters>
  <Lines>12</Lines>
  <Paragraphs>3</Paragraphs>
  <ScaleCrop>false</ScaleCrop>
  <LinksUpToDate>false</LinksUpToDate>
  <CharactersWithSpaces>1732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2017-11-16T10:45:00Z</dcterms:created>
  <dc:creator>Colegiados</dc:creator>
  <cp:lastModifiedBy>ilana.farias</cp:lastModifiedBy>
  <cp:lastPrinted>2017-11-20T14:15:52Z</cp:lastPrinted>
  <dcterms:modified xsi:type="dcterms:W3CDTF">2017-11-20T14:17:01Z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